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wishes to award a Call-Off Contract under Lot 1 it must:</w:t>
      </w:r>
    </w:p>
    <w:p w:rsidR="00000000" w:rsidDel="00000000" w:rsidP="00000000" w:rsidRDefault="00000000" w:rsidRPr="00000000" w14:paraId="00000006">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determine that:</w:t>
      </w:r>
    </w:p>
    <w:p w:rsidR="00000000" w:rsidDel="00000000" w:rsidP="00000000" w:rsidRDefault="00000000" w:rsidRPr="00000000" w14:paraId="00000007">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8">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 and</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0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award the Call-Off Contract under Lot 1 in accordance with the procedure set out in Paragraph 2 below.</w:t>
      </w:r>
    </w:p>
    <w:p w:rsidR="00000000" w:rsidDel="00000000" w:rsidP="00000000" w:rsidRDefault="00000000" w:rsidRPr="00000000" w14:paraId="0000000A">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wishes to award a Call-Off Contract under Lot 2 it must follow the Further Competition Procedure set out in paragraph 3 below.</w:t>
      </w:r>
    </w:p>
    <w:p w:rsidR="00000000" w:rsidDel="00000000" w:rsidP="00000000" w:rsidRDefault="00000000" w:rsidRPr="00000000" w14:paraId="0000000B">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wishes to award a Call-Off Contract under Lot 3 it may:</w:t>
      </w:r>
    </w:p>
    <w:p w:rsidR="00000000" w:rsidDel="00000000" w:rsidP="00000000" w:rsidRDefault="00000000" w:rsidRPr="00000000" w14:paraId="0000000C">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directly award the Call-Off Contract in accordance with paragraph 2 below if: </w:t>
      </w:r>
    </w:p>
    <w:p w:rsidR="00000000" w:rsidDel="00000000" w:rsidP="00000000" w:rsidRDefault="00000000" w:rsidRPr="00000000" w14:paraId="0000000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description of the Deliverables as set out in Framework Schedule 1 (Specification) and Framework Schedule 2 (Framework Tender); and</w:t>
      </w:r>
    </w:p>
    <w:p w:rsidR="00000000" w:rsidDel="00000000" w:rsidP="00000000" w:rsidRDefault="00000000" w:rsidRPr="00000000" w14:paraId="0000000E">
      <w:pPr>
        <w:widowControl w:val="1"/>
        <w:numPr>
          <w:ilvl w:val="3"/>
          <w:numId w:val="1"/>
        </w:numPr>
        <w:pBdr>
          <w:top w:space="0" w:sz="0" w:val="nil"/>
          <w:left w:space="0" w:sz="0" w:val="nil"/>
          <w:bottom w:space="0" w:sz="0" w:val="nil"/>
          <w:right w:space="0" w:sz="0" w:val="nil"/>
          <w:between w:space="0" w:sz="0" w:val="nil"/>
        </w:pBdr>
        <w:tabs>
          <w:tab w:val="left" w:pos="3054"/>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Framework Contract and do not require amendment or any supplementary terms and conditions; or</w:t>
      </w:r>
    </w:p>
    <w:p w:rsidR="00000000" w:rsidDel="00000000" w:rsidP="00000000" w:rsidRDefault="00000000" w:rsidRPr="00000000" w14:paraId="0000000F">
      <w:pPr>
        <w:widowControl w:val="1"/>
        <w:tabs>
          <w:tab w:val="left" w:pos="3054"/>
        </w:tabs>
        <w:spacing w:after="120" w:before="120" w:lineRule="auto"/>
        <w:ind w:left="10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1.4.2     award the Call-Off Contract in accordance with the Further  </w:t>
      </w:r>
    </w:p>
    <w:p w:rsidR="00000000" w:rsidDel="00000000" w:rsidP="00000000" w:rsidRDefault="00000000" w:rsidRPr="00000000" w14:paraId="00000010">
      <w:pPr>
        <w:widowControl w:val="1"/>
        <w:tabs>
          <w:tab w:val="left" w:pos="3054"/>
        </w:tabs>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Competition Procedure set out in paragraph 3 below.</w:t>
      </w:r>
    </w:p>
    <w:p w:rsidR="00000000" w:rsidDel="00000000" w:rsidP="00000000" w:rsidRDefault="00000000" w:rsidRPr="00000000" w14:paraId="00000011">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Buyer wishes to award a Call-Off Contract under Lot 4 it must: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2">
      <w:pPr>
        <w:widowControl w:val="1"/>
        <w:tabs>
          <w:tab w:val="left" w:pos="3054"/>
        </w:tabs>
        <w:spacing w:after="120" w:before="120" w:lineRule="auto"/>
        <w:ind w:left="108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  directly award the Call-Off Contract in accordance with paragraph 2 below if: </w:t>
      </w:r>
    </w:p>
    <w:p w:rsidR="00000000" w:rsidDel="00000000" w:rsidP="00000000" w:rsidRDefault="00000000" w:rsidRPr="00000000" w14:paraId="00000013">
      <w:pPr>
        <w:widowControl w:val="1"/>
        <w:numPr>
          <w:ilvl w:val="3"/>
          <w:numId w:val="1"/>
        </w:numPr>
        <w:tabs>
          <w:tab w:val="left" w:pos="3641"/>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its Deliverables can be met by the Supplier’s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14">
      <w:pPr>
        <w:widowControl w:val="1"/>
        <w:numPr>
          <w:ilvl w:val="3"/>
          <w:numId w:val="1"/>
        </w:numPr>
        <w:tabs>
          <w:tab w:val="left" w:pos="3054"/>
        </w:tabs>
        <w:spacing w:after="120" w:before="120" w:lineRule="auto"/>
        <w:ind w:left="2847"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of the terms of the proposed Call-Off Contract are laid down in this Framework Contract and do not require amendment or any supplementary terms and conditions; or</w:t>
      </w:r>
      <w:r w:rsidDel="00000000" w:rsidR="00000000" w:rsidRPr="00000000">
        <w:rPr>
          <w:rtl w:val="0"/>
        </w:rPr>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6">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award the Call-Off Contract in accordance with the Further Competition Procedure set out in paragraph 3 below.</w:t>
      </w:r>
    </w:p>
    <w:p w:rsidR="00000000" w:rsidDel="00000000" w:rsidP="00000000" w:rsidRDefault="00000000" w:rsidRPr="00000000" w14:paraId="00000017">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18">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19">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bookmarkStart w:colFirst="0" w:colLast="0" w:name="_heading=h.35nkun2" w:id="3"/>
      <w:bookmarkEnd w:id="3"/>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tabs>
          <w:tab w:val="left" w:pos="3054"/>
        </w:tabs>
        <w:spacing w:after="120" w:before="120"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B">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C">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above the Buyer awarding a Call-Off Contract under this Contract without holding a further competition shall:</w:t>
      </w:r>
    </w:p>
    <w:p w:rsidR="00000000" w:rsidDel="00000000" w:rsidP="00000000" w:rsidRDefault="00000000" w:rsidRPr="00000000" w14:paraId="0000001D">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E">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w:t>
      </w:r>
    </w:p>
    <w:p w:rsidR="00000000" w:rsidDel="00000000" w:rsidP="00000000" w:rsidRDefault="00000000" w:rsidRPr="00000000" w14:paraId="0000001F">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sz w:val="24"/>
          <w:szCs w:val="24"/>
        </w:rPr>
      </w:pPr>
      <w:r w:rsidDel="00000000" w:rsidR="00000000" w:rsidRPr="00000000">
        <w:rPr>
          <w:rFonts w:ascii="Arial" w:cs="Arial" w:eastAsia="Arial" w:hAnsi="Arial"/>
          <w:sz w:val="24"/>
          <w:szCs w:val="24"/>
          <w:rtl w:val="0"/>
        </w:rPr>
        <w:t xml:space="preserve">where the Statement of Requirements requires the Supplier to hold classified information, the Buyer may state a required Standard and apply the Direct Award Criteria only to the Catalogue of the Suppliers capable of meeting the required Standard and the Statement of Requirements;</w:t>
      </w:r>
    </w:p>
    <w:p w:rsidR="00000000" w:rsidDel="00000000" w:rsidP="00000000" w:rsidRDefault="00000000" w:rsidRPr="00000000" w14:paraId="00000020">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85"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not evaluate Optional Services as part of the Buyer’s evaluation criteria; </w:t>
      </w:r>
    </w:p>
    <w:p w:rsidR="00000000" w:rsidDel="00000000" w:rsidP="00000000" w:rsidRDefault="00000000" w:rsidRPr="00000000" w14:paraId="00000021">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85"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not award any Call-Off Contract on the basis of any Optional Services; and</w:t>
      </w:r>
    </w:p>
    <w:p w:rsidR="00000000" w:rsidDel="00000000" w:rsidP="00000000" w:rsidRDefault="00000000" w:rsidRPr="00000000" w14:paraId="00000022">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sz w:val="24"/>
          <w:szCs w:val="24"/>
        </w:rPr>
      </w:pPr>
      <w:r w:rsidDel="00000000" w:rsidR="00000000" w:rsidRPr="00000000">
        <w:rPr>
          <w:rFonts w:ascii="Arial" w:cs="Arial" w:eastAsia="Arial" w:hAnsi="Arial"/>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23">
      <w:pPr>
        <w:widowControl w:val="1"/>
        <w:pBdr>
          <w:top w:space="0" w:sz="0" w:val="nil"/>
          <w:left w:space="0" w:sz="0" w:val="nil"/>
          <w:bottom w:space="0" w:sz="0" w:val="nil"/>
          <w:right w:space="0" w:sz="0" w:val="nil"/>
          <w:between w:space="0" w:sz="0" w:val="nil"/>
        </w:pBdr>
        <w:tabs>
          <w:tab w:val="left" w:pos="3641"/>
          <w:tab w:val="left" w:pos="1985"/>
        </w:tabs>
        <w:spacing w:after="120" w:before="120" w:lineRule="auto"/>
        <w:ind w:left="261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widowControl w:val="1"/>
        <w:pBdr>
          <w:top w:space="0" w:sz="0" w:val="nil"/>
          <w:left w:space="0" w:sz="0" w:val="nil"/>
          <w:bottom w:space="0" w:sz="0" w:val="nil"/>
          <w:right w:space="0" w:sz="0" w:val="nil"/>
          <w:between w:space="0" w:sz="0" w:val="nil"/>
        </w:pBdr>
        <w:tabs>
          <w:tab w:val="left" w:pos="3054"/>
        </w:tabs>
        <w:spacing w:after="120" w:before="120" w:lineRule="auto"/>
        <w:ind w:left="261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bookmarkStart w:colFirst="0" w:colLast="0" w:name="_heading=h.4d34og8" w:id="4"/>
      <w:bookmarkEnd w:id="4"/>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26">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27">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 above the Buyer awarding a Call-Off Contract under this Framework Contract</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through a Further Competition Procedure shall:</w:t>
      </w:r>
    </w:p>
    <w:p w:rsidR="00000000" w:rsidDel="00000000" w:rsidP="00000000" w:rsidRDefault="00000000" w:rsidRPr="00000000" w14:paraId="00000028">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29">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where the Statement of Requirements requires the Supplier to hold classified information, the Buyer may state a required Standard and identify the Suppliers capable of meeting the required Standard;</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A">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B">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2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2E">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F">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30">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31">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32">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33">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34">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35">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36">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w:t>
      </w:r>
      <w:r w:rsidDel="00000000" w:rsidR="00000000" w:rsidRPr="00000000">
        <w:rPr>
          <w:rFonts w:ascii="Arial" w:cs="Arial" w:eastAsia="Arial" w:hAnsi="Arial"/>
          <w:sz w:val="24"/>
          <w:szCs w:val="24"/>
          <w:rtl w:val="0"/>
        </w:rPr>
        <w:t xml:space="preserve">3.1.3</w:t>
      </w:r>
      <w:r w:rsidDel="00000000" w:rsidR="00000000" w:rsidRPr="00000000">
        <w:rPr>
          <w:rFonts w:ascii="Arial" w:cs="Arial" w:eastAsia="Arial" w:hAnsi="Arial"/>
          <w:color w:val="000000"/>
          <w:sz w:val="24"/>
          <w:szCs w:val="24"/>
          <w:rtl w:val="0"/>
        </w:rPr>
        <w:t xml:space="preserve">. above) applicable to the Deliverables,</w:t>
      </w:r>
    </w:p>
    <w:p w:rsidR="00000000" w:rsidDel="00000000" w:rsidP="00000000" w:rsidRDefault="00000000" w:rsidRPr="00000000" w14:paraId="00000037">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38">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39">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3.1.4 above, provide CCS and the Buyer with either:</w:t>
      </w:r>
    </w:p>
    <w:p w:rsidR="00000000" w:rsidDel="00000000" w:rsidP="00000000" w:rsidRDefault="00000000" w:rsidRPr="00000000" w14:paraId="0000003A">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3B">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3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E">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3F">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40">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41">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42">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43">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44">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45">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46">
      <w:pPr>
        <w:widowControl w:val="1"/>
        <w:numPr>
          <w:ilvl w:val="4"/>
          <w:numId w:val="1"/>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47">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48">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9">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4A">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B">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4C">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4D">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E">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3.1.3</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above) of the Order Form Template set out in Framework Schedule 6 (Order Form Template and Call-Off Schedules).</w:t>
      </w:r>
    </w:p>
    <w:p w:rsidR="00000000" w:rsidDel="00000000" w:rsidP="00000000" w:rsidRDefault="00000000" w:rsidRPr="00000000" w14:paraId="0000004F">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50">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51">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52">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259" w:lineRule="auto"/>
        <w:ind w:left="360" w:hanging="360"/>
        <w:jc w:val="both"/>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53">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513"/>
        <w:jc w:val="both"/>
        <w:rPr>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Lot 2 in accordance with the rules laid down by the Buyer and the Regulations.</w:t>
      </w:r>
      <w:r w:rsidDel="00000000" w:rsidR="00000000" w:rsidRPr="00000000">
        <w:rPr>
          <w:rtl w:val="0"/>
        </w:rPr>
      </w:r>
    </w:p>
    <w:p w:rsidR="00000000" w:rsidDel="00000000" w:rsidP="00000000" w:rsidRDefault="00000000" w:rsidRPr="00000000" w14:paraId="00000054">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513"/>
        <w:jc w:val="both"/>
        <w:rPr>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r w:rsidDel="00000000" w:rsidR="00000000" w:rsidRPr="00000000">
        <w:rPr>
          <w:rtl w:val="0"/>
        </w:rPr>
      </w:r>
    </w:p>
    <w:p w:rsidR="00000000" w:rsidDel="00000000" w:rsidP="00000000" w:rsidRDefault="00000000" w:rsidRPr="00000000" w14:paraId="00000055">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513"/>
        <w:jc w:val="both"/>
        <w:rPr>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r w:rsidDel="00000000" w:rsidR="00000000" w:rsidRPr="00000000">
        <w:rPr>
          <w:rtl w:val="0"/>
        </w:rPr>
      </w:r>
    </w:p>
    <w:p w:rsidR="00000000" w:rsidDel="00000000" w:rsidP="00000000" w:rsidRDefault="00000000" w:rsidRPr="00000000" w14:paraId="00000056">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r w:rsidDel="00000000" w:rsidR="00000000" w:rsidRPr="00000000">
        <w:rPr>
          <w:rtl w:val="0"/>
        </w:rPr>
      </w:r>
    </w:p>
    <w:p w:rsidR="00000000" w:rsidDel="00000000" w:rsidP="00000000" w:rsidRDefault="00000000" w:rsidRPr="00000000" w14:paraId="00000057">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r w:rsidDel="00000000" w:rsidR="00000000" w:rsidRPr="00000000">
        <w:rPr>
          <w:rtl w:val="0"/>
        </w:rPr>
      </w:r>
    </w:p>
    <w:p w:rsidR="00000000" w:rsidDel="00000000" w:rsidP="00000000" w:rsidRDefault="00000000" w:rsidRPr="00000000" w14:paraId="00000058">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r w:rsidDel="00000000" w:rsidR="00000000" w:rsidRPr="00000000">
        <w:rPr>
          <w:rtl w:val="0"/>
        </w:rPr>
      </w:r>
    </w:p>
    <w:p w:rsidR="00000000" w:rsidDel="00000000" w:rsidP="00000000" w:rsidRDefault="00000000" w:rsidRPr="00000000" w14:paraId="00000059">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r w:rsidDel="00000000" w:rsidR="00000000" w:rsidRPr="00000000">
        <w:rPr>
          <w:rtl w:val="0"/>
        </w:rPr>
      </w:r>
    </w:p>
    <w:p w:rsidR="00000000" w:rsidDel="00000000" w:rsidP="00000000" w:rsidRDefault="00000000" w:rsidRPr="00000000" w14:paraId="0000005A">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bookmarkStart w:colFirst="0" w:colLast="0" w:name="_heading=h.26in1rg" w:id="10"/>
      <w:bookmarkEnd w:id="10"/>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r w:rsidDel="00000000" w:rsidR="00000000" w:rsidRPr="00000000">
        <w:rPr>
          <w:rtl w:val="0"/>
        </w:rPr>
      </w:r>
    </w:p>
    <w:p w:rsidR="00000000" w:rsidDel="00000000" w:rsidP="00000000" w:rsidRDefault="00000000" w:rsidRPr="00000000" w14:paraId="0000005B">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r w:rsidDel="00000000" w:rsidR="00000000" w:rsidRPr="00000000">
        <w:rPr>
          <w:rtl w:val="0"/>
        </w:rPr>
      </w:r>
    </w:p>
    <w:p w:rsidR="00000000" w:rsidDel="00000000" w:rsidP="00000000" w:rsidRDefault="00000000" w:rsidRPr="00000000" w14:paraId="0000005C">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r w:rsidDel="00000000" w:rsidR="00000000" w:rsidRPr="00000000">
        <w:rPr>
          <w:rtl w:val="0"/>
        </w:rPr>
      </w:r>
    </w:p>
    <w:p w:rsidR="00000000" w:rsidDel="00000000" w:rsidP="00000000" w:rsidRDefault="00000000" w:rsidRPr="00000000" w14:paraId="0000005D">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r w:rsidDel="00000000" w:rsidR="00000000" w:rsidRPr="00000000">
        <w:rPr>
          <w:rtl w:val="0"/>
        </w:rPr>
      </w:r>
    </w:p>
    <w:p w:rsidR="00000000" w:rsidDel="00000000" w:rsidP="00000000" w:rsidRDefault="00000000" w:rsidRPr="00000000" w14:paraId="0000005E">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360"/>
        <w:jc w:val="both"/>
        <w:rPr>
          <w:color w:val="000000"/>
          <w:sz w:val="24"/>
          <w:szCs w:val="24"/>
        </w:rPr>
      </w:pPr>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r w:rsidDel="00000000" w:rsidR="00000000" w:rsidRPr="00000000">
        <w:rPr>
          <w:rtl w:val="0"/>
        </w:rPr>
      </w:r>
    </w:p>
    <w:p w:rsidR="00000000" w:rsidDel="00000000" w:rsidP="00000000" w:rsidRDefault="00000000" w:rsidRPr="00000000" w14:paraId="0000005F">
      <w:pPr>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360"/>
        <w:jc w:val="both"/>
        <w:rPr>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r w:rsidDel="00000000" w:rsidR="00000000" w:rsidRPr="00000000">
        <w:rPr>
          <w:rtl w:val="0"/>
        </w:rPr>
      </w:r>
    </w:p>
    <w:p w:rsidR="00000000" w:rsidDel="00000000" w:rsidP="00000000" w:rsidRDefault="00000000" w:rsidRPr="00000000" w14:paraId="00000060">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360"/>
        <w:jc w:val="both"/>
        <w:rPr>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r w:rsidDel="00000000" w:rsidR="00000000" w:rsidRPr="00000000">
        <w:rPr>
          <w:rtl w:val="0"/>
        </w:rPr>
      </w:r>
    </w:p>
    <w:p w:rsidR="00000000" w:rsidDel="00000000" w:rsidP="00000000" w:rsidRDefault="00000000" w:rsidRPr="00000000" w14:paraId="00000061">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w:t>
      </w:r>
      <w:r w:rsidDel="00000000" w:rsidR="00000000" w:rsidRPr="00000000">
        <w:rPr>
          <w:rFonts w:ascii="Arial" w:cs="Arial" w:eastAsia="Arial" w:hAnsi="Arial"/>
          <w:color w:val="000000"/>
          <w:sz w:val="24"/>
          <w:szCs w:val="24"/>
          <w:rtl w:val="0"/>
        </w:rPr>
        <w:t xml:space="preserve">CCS</w:t>
      </w:r>
      <w:r w:rsidDel="00000000" w:rsidR="00000000" w:rsidRPr="00000000">
        <w:rPr>
          <w:rFonts w:ascii="Arial" w:cs="Arial" w:eastAsia="Arial" w:hAnsi="Arial"/>
          <w:color w:val="000000"/>
          <w:sz w:val="24"/>
          <w:szCs w:val="24"/>
          <w:rtl w:val="0"/>
        </w:rPr>
        <w:t xml:space="preserve">) do not guarantee that its access to the Electronic Reverse Auction will be uninterrupted or error-free;</w:t>
      </w:r>
      <w:r w:rsidDel="00000000" w:rsidR="00000000" w:rsidRPr="00000000">
        <w:rPr>
          <w:rtl w:val="0"/>
        </w:rPr>
      </w:r>
    </w:p>
    <w:p w:rsidR="00000000" w:rsidDel="00000000" w:rsidP="00000000" w:rsidRDefault="00000000" w:rsidRPr="00000000" w14:paraId="00000062">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r w:rsidDel="00000000" w:rsidR="00000000" w:rsidRPr="00000000">
        <w:rPr>
          <w:rtl w:val="0"/>
        </w:rPr>
      </w:r>
    </w:p>
    <w:p w:rsidR="00000000" w:rsidDel="00000000" w:rsidP="00000000" w:rsidRDefault="00000000" w:rsidRPr="00000000" w14:paraId="00000063">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r w:rsidDel="00000000" w:rsidR="00000000" w:rsidRPr="00000000">
        <w:rPr>
          <w:rtl w:val="0"/>
        </w:rPr>
      </w:r>
    </w:p>
    <w:p w:rsidR="00000000" w:rsidDel="00000000" w:rsidP="00000000" w:rsidRDefault="00000000" w:rsidRPr="00000000" w14:paraId="00000064">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259" w:lineRule="auto"/>
        <w:ind w:left="1080" w:hanging="360"/>
        <w:jc w:val="both"/>
        <w:rPr>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r w:rsidDel="00000000" w:rsidR="00000000" w:rsidRPr="00000000">
        <w:rPr>
          <w:rtl w:val="0"/>
        </w:rPr>
      </w:r>
    </w:p>
    <w:p w:rsidR="00000000" w:rsidDel="00000000" w:rsidP="00000000" w:rsidRDefault="00000000" w:rsidRPr="00000000" w14:paraId="00000065">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r w:rsidDel="00000000" w:rsidR="00000000" w:rsidRPr="00000000">
        <w:rPr>
          <w:rtl w:val="0"/>
        </w:rPr>
      </w:r>
    </w:p>
    <w:p w:rsidR="00000000" w:rsidDel="00000000" w:rsidP="00000000" w:rsidRDefault="00000000" w:rsidRPr="00000000" w14:paraId="00000066">
      <w:pPr>
        <w:widowControl w:val="1"/>
        <w:numPr>
          <w:ilvl w:val="3"/>
          <w:numId w:val="1"/>
        </w:numPr>
        <w:pBdr>
          <w:top w:space="0" w:sz="0" w:val="nil"/>
          <w:left w:space="0" w:sz="0" w:val="nil"/>
          <w:bottom w:space="0" w:sz="0" w:val="nil"/>
          <w:right w:space="0" w:sz="0" w:val="nil"/>
          <w:between w:space="0" w:sz="0" w:val="nil"/>
        </w:pBdr>
        <w:tabs>
          <w:tab w:val="left" w:pos="3641"/>
        </w:tabs>
        <w:spacing w:after="120" w:before="120" w:line="259" w:lineRule="auto"/>
        <w:ind w:left="2847" w:hanging="720"/>
        <w:jc w:val="both"/>
        <w:rPr>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r w:rsidDel="00000000" w:rsidR="00000000" w:rsidRPr="00000000">
        <w:rPr>
          <w:rtl w:val="0"/>
        </w:rPr>
      </w:r>
    </w:p>
    <w:p w:rsidR="00000000" w:rsidDel="00000000" w:rsidP="00000000" w:rsidRDefault="00000000" w:rsidRPr="00000000" w14:paraId="00000067">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259" w:lineRule="auto"/>
        <w:ind w:left="2610" w:hanging="720"/>
        <w:jc w:val="both"/>
        <w:rPr/>
      </w:pPr>
      <w:bookmarkStart w:colFirst="0" w:colLast="0" w:name="_heading=h.lnxbz9" w:id="11"/>
      <w:bookmarkEnd w:id="11"/>
      <w:r w:rsidDel="00000000" w:rsidR="00000000" w:rsidRPr="00000000">
        <w:rPr>
          <w:rFonts w:ascii="Arial" w:cs="Arial" w:eastAsia="Arial" w:hAnsi="Arial"/>
          <w:color w:val="000000"/>
          <w:sz w:val="24"/>
          <w:szCs w:val="24"/>
          <w:rtl w:val="0"/>
        </w:rPr>
        <w:t xml:space="preserve">when all the phases have been completed.]</w:t>
      </w: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3054"/>
        </w:tabs>
        <w:spacing w:after="120" w:before="120" w:lineRule="auto"/>
        <w:ind w:left="1080" w:firstLine="0"/>
        <w:rPr>
          <w:rFonts w:ascii="Arial" w:cs="Arial" w:eastAsia="Arial" w:hAnsi="Arial"/>
          <w:color w:val="000000"/>
          <w:sz w:val="24"/>
          <w:szCs w:val="24"/>
        </w:rPr>
      </w:pPr>
      <w:bookmarkStart w:colFirst="0" w:colLast="0" w:name="_heading=h.17dp8vu" w:id="12"/>
      <w:bookmarkEnd w:id="12"/>
      <w:r w:rsidDel="00000000" w:rsidR="00000000" w:rsidRPr="00000000">
        <w:rPr>
          <w:rtl w:val="0"/>
        </w:rPr>
      </w:r>
    </w:p>
    <w:p w:rsidR="00000000" w:rsidDel="00000000" w:rsidP="00000000" w:rsidRDefault="00000000" w:rsidRPr="00000000" w14:paraId="00000069">
      <w:pPr>
        <w:keepNext w:val="1"/>
        <w:widowControl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6A">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6B">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6C">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D">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6E">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F">
      <w:pPr>
        <w:widowControl w:val="1"/>
        <w:numPr>
          <w:ilvl w:val="2"/>
          <w:numId w:val="1"/>
        </w:numPr>
        <w:pBdr>
          <w:top w:space="0" w:sz="0" w:val="nil"/>
          <w:left w:space="0" w:sz="0" w:val="nil"/>
          <w:bottom w:space="0" w:sz="0" w:val="nil"/>
          <w:right w:space="0" w:sz="0" w:val="nil"/>
          <w:between w:space="0" w:sz="0" w:val="nil"/>
        </w:pBdr>
        <w:tabs>
          <w:tab w:val="left" w:pos="3054"/>
        </w:tabs>
        <w:spacing w:after="120" w:before="120" w:lineRule="auto"/>
        <w:ind w:left="1979" w:hanging="8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3641"/>
        </w:tabs>
        <w:spacing w:after="120" w:before="120" w:lineRule="auto"/>
        <w:ind w:left="11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71">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72">
      <w:pPr>
        <w:keepNext w:val="1"/>
        <w:widowControl w:val="1"/>
        <w:numPr>
          <w:ilvl w:val="1"/>
          <w:numId w:val="1"/>
        </w:numPr>
        <w:pBdr>
          <w:top w:space="0" w:sz="0" w:val="nil"/>
          <w:left w:space="0" w:sz="0" w:val="nil"/>
          <w:bottom w:space="0" w:sz="0" w:val="nil"/>
          <w:right w:space="0" w:sz="0" w:val="nil"/>
          <w:between w:space="0" w:sz="0" w:val="nil"/>
        </w:pBdr>
        <w:tabs>
          <w:tab w:val="left" w:pos="3054"/>
        </w:tabs>
        <w:spacing w:after="120" w:before="120" w:lineRule="auto"/>
        <w:ind w:left="1134" w:hanging="505"/>
        <w:rPr>
          <w:rFonts w:ascii="Arial" w:cs="Arial" w:eastAsia="Arial" w:hAnsi="Arial"/>
          <w:color w:val="000000"/>
          <w:sz w:val="24"/>
          <w:szCs w:val="24"/>
        </w:rPr>
      </w:pPr>
      <w:bookmarkStart w:colFirst="0" w:colLast="0" w:name="_heading=h.3rdcrjn" w:id="13"/>
      <w:bookmarkEnd w:id="13"/>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7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76">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77">
      <w:pPr>
        <w:widowControl w:val="1"/>
        <w:numPr>
          <w:ilvl w:val="0"/>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 </w:t>
      </w:r>
      <w:r w:rsidDel="00000000" w:rsidR="00000000" w:rsidRPr="00000000">
        <w:rPr>
          <w:rFonts w:ascii="Arial" w:cs="Arial" w:eastAsia="Arial" w:hAnsi="Arial"/>
          <w:sz w:val="24"/>
          <w:szCs w:val="24"/>
          <w:rtl w:val="0"/>
        </w:rPr>
        <w:t xml:space="preserve">from the point of view of the Buyer.</w:t>
      </w:r>
      <w:r w:rsidDel="00000000" w:rsidR="00000000" w:rsidRPr="00000000">
        <w:rPr>
          <w:rtl w:val="0"/>
        </w:rPr>
      </w:r>
    </w:p>
    <w:p w:rsidR="00000000" w:rsidDel="00000000" w:rsidP="00000000" w:rsidRDefault="00000000" w:rsidRPr="00000000" w14:paraId="00000078">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9">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w:t>
      </w:r>
    </w:p>
    <w:tbl>
      <w:tblPr>
        <w:tblStyle w:val="Table1"/>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7C">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7D">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w:t>
            </w:r>
          </w:p>
        </w:tc>
        <w:tc>
          <w:tcPr>
            <w:shd w:fill="e7e6e6" w:val="clear"/>
          </w:tcPr>
          <w:p w:rsidR="00000000" w:rsidDel="00000000" w:rsidP="00000000" w:rsidRDefault="00000000" w:rsidRPr="00000000" w14:paraId="0000007E">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7F">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within the range below)</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0">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81">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40%</w:t>
            </w:r>
          </w:p>
        </w:tc>
        <w:tc>
          <w:tcPr/>
          <w:p w:rsidR="00000000" w:rsidDel="00000000" w:rsidP="00000000" w:rsidRDefault="00000000" w:rsidRPr="00000000" w14:paraId="00000082">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+ 50% (40% to 90%)</w:t>
            </w:r>
          </w:p>
        </w:tc>
      </w:tr>
      <w:tr>
        <w:trPr>
          <w:cantSplit w:val="0"/>
          <w:tblHeader w:val="0"/>
        </w:trPr>
        <w:tc>
          <w:tcPr/>
          <w:p w:rsidR="00000000" w:rsidDel="00000000" w:rsidP="00000000" w:rsidRDefault="00000000" w:rsidRPr="00000000" w14:paraId="00000083">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84">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60%</w:t>
            </w:r>
          </w:p>
        </w:tc>
        <w:tc>
          <w:tcPr/>
          <w:p w:rsidR="00000000" w:rsidDel="00000000" w:rsidP="00000000" w:rsidRDefault="00000000" w:rsidRPr="00000000" w14:paraId="00000085">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- 50% (10% to 60%)</w:t>
            </w:r>
          </w:p>
        </w:tc>
      </w:tr>
    </w:tbl>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w:t>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88">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9">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w:t>
            </w:r>
          </w:p>
        </w:tc>
        <w:tc>
          <w:tcPr>
            <w:shd w:fill="e7e6e6" w:val="clear"/>
          </w:tcPr>
          <w:p w:rsidR="00000000" w:rsidDel="00000000" w:rsidP="00000000" w:rsidRDefault="00000000" w:rsidRPr="00000000" w14:paraId="0000008A">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8B">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within the range below)</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8C">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8D">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55%</w:t>
            </w:r>
          </w:p>
        </w:tc>
        <w:tc>
          <w:tcPr/>
          <w:p w:rsidR="00000000" w:rsidDel="00000000" w:rsidP="00000000" w:rsidRDefault="00000000" w:rsidRPr="00000000" w14:paraId="0000008E">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+ 35% (55% to 90%) </w:t>
            </w:r>
          </w:p>
        </w:tc>
      </w:tr>
      <w:tr>
        <w:trPr>
          <w:cantSplit w:val="0"/>
          <w:tblHeader w:val="0"/>
        </w:trPr>
        <w:tc>
          <w:tcPr/>
          <w:p w:rsidR="00000000" w:rsidDel="00000000" w:rsidP="00000000" w:rsidRDefault="00000000" w:rsidRPr="00000000" w14:paraId="0000008F">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90">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45%</w:t>
            </w:r>
          </w:p>
        </w:tc>
        <w:tc>
          <w:tcPr/>
          <w:p w:rsidR="00000000" w:rsidDel="00000000" w:rsidP="00000000" w:rsidRDefault="00000000" w:rsidRPr="00000000" w14:paraId="00000091">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- 35% (10% to 45%) </w:t>
            </w:r>
          </w:p>
        </w:tc>
      </w:tr>
    </w:tbl>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w:t>
      </w:r>
    </w:p>
    <w:tbl>
      <w:tblPr>
        <w:tblStyle w:val="Table3"/>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94">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95">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w:t>
            </w:r>
          </w:p>
        </w:tc>
        <w:tc>
          <w:tcPr>
            <w:shd w:fill="e7e6e6" w:val="clear"/>
          </w:tcPr>
          <w:p w:rsidR="00000000" w:rsidDel="00000000" w:rsidP="00000000" w:rsidRDefault="00000000" w:rsidRPr="00000000" w14:paraId="00000096">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97">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within the range below)</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98">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99">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75%</w:t>
            </w:r>
          </w:p>
        </w:tc>
        <w:tc>
          <w:tcPr/>
          <w:p w:rsidR="00000000" w:rsidDel="00000000" w:rsidP="00000000" w:rsidRDefault="00000000" w:rsidRPr="00000000" w14:paraId="0000009A">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+ 15% (75% to 90%) </w:t>
            </w:r>
          </w:p>
        </w:tc>
      </w:tr>
      <w:tr>
        <w:trPr>
          <w:cantSplit w:val="0"/>
          <w:tblHeader w:val="0"/>
        </w:trPr>
        <w:tc>
          <w:tcPr/>
          <w:p w:rsidR="00000000" w:rsidDel="00000000" w:rsidP="00000000" w:rsidRDefault="00000000" w:rsidRPr="00000000" w14:paraId="0000009B">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9C">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25%</w:t>
            </w:r>
          </w:p>
        </w:tc>
        <w:tc>
          <w:tcPr/>
          <w:p w:rsidR="00000000" w:rsidDel="00000000" w:rsidP="00000000" w:rsidRDefault="00000000" w:rsidRPr="00000000" w14:paraId="0000009D">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- 15% (10% to 25%) </w:t>
            </w:r>
          </w:p>
        </w:tc>
      </w:tr>
    </w:tbl>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A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2">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p w:rsidR="00000000" w:rsidDel="00000000" w:rsidP="00000000" w:rsidRDefault="00000000" w:rsidRPr="00000000" w14:paraId="000000A4">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w:t>
      </w:r>
    </w:p>
    <w:tbl>
      <w:tblPr>
        <w:tblStyle w:val="Table4"/>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A5">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A6">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Buyer conducting the Further Competition Procedure</w:t>
            </w:r>
          </w:p>
        </w:tc>
        <w:tc>
          <w:tcPr>
            <w:shd w:fill="e7e6e6" w:val="clear"/>
          </w:tcPr>
          <w:p w:rsidR="00000000" w:rsidDel="00000000" w:rsidP="00000000" w:rsidRDefault="00000000" w:rsidRPr="00000000" w14:paraId="000000A7">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A8">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within the range below)</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9">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AA">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70%</w:t>
            </w:r>
          </w:p>
        </w:tc>
        <w:tc>
          <w:tcPr/>
          <w:p w:rsidR="00000000" w:rsidDel="00000000" w:rsidP="00000000" w:rsidRDefault="00000000" w:rsidRPr="00000000" w14:paraId="000000AB">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+ 20% (70% to 90%)</w:t>
            </w:r>
          </w:p>
        </w:tc>
      </w:tr>
      <w:tr>
        <w:trPr>
          <w:cantSplit w:val="0"/>
          <w:tblHeader w:val="0"/>
        </w:trPr>
        <w:tc>
          <w:tcPr/>
          <w:p w:rsidR="00000000" w:rsidDel="00000000" w:rsidP="00000000" w:rsidRDefault="00000000" w:rsidRPr="00000000" w14:paraId="000000AC">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AD">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30%</w:t>
            </w:r>
          </w:p>
        </w:tc>
        <w:tc>
          <w:tcPr/>
          <w:p w:rsidR="00000000" w:rsidDel="00000000" w:rsidP="00000000" w:rsidRDefault="00000000" w:rsidRPr="00000000" w14:paraId="000000AE">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- 20% (10% to 30%)</w:t>
            </w:r>
          </w:p>
        </w:tc>
      </w:tr>
    </w:tbl>
    <w:p w:rsidR="00000000" w:rsidDel="00000000" w:rsidP="00000000" w:rsidRDefault="00000000" w:rsidRPr="00000000" w14:paraId="000000A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w:t>
      </w:r>
    </w:p>
    <w:tbl>
      <w:tblPr>
        <w:tblStyle w:val="Table5"/>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B1">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B2">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Buyer conducting the Further Competition Procedure</w:t>
            </w:r>
          </w:p>
        </w:tc>
        <w:tc>
          <w:tcPr>
            <w:shd w:fill="e7e6e6" w:val="clear"/>
          </w:tcPr>
          <w:p w:rsidR="00000000" w:rsidDel="00000000" w:rsidP="00000000" w:rsidRDefault="00000000" w:rsidRPr="00000000" w14:paraId="000000B3">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B4">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within the range below)</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B5">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B6">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55%</w:t>
            </w:r>
          </w:p>
        </w:tc>
        <w:tc>
          <w:tcPr/>
          <w:p w:rsidR="00000000" w:rsidDel="00000000" w:rsidP="00000000" w:rsidRDefault="00000000" w:rsidRPr="00000000" w14:paraId="000000B7">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+ 35% (55% to 90%) </w:t>
            </w:r>
          </w:p>
        </w:tc>
      </w:tr>
      <w:tr>
        <w:trPr>
          <w:cantSplit w:val="0"/>
          <w:tblHeader w:val="0"/>
        </w:trPr>
        <w:tc>
          <w:tcPr/>
          <w:p w:rsidR="00000000" w:rsidDel="00000000" w:rsidP="00000000" w:rsidRDefault="00000000" w:rsidRPr="00000000" w14:paraId="000000B8">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B9">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45%</w:t>
            </w:r>
          </w:p>
        </w:tc>
        <w:tc>
          <w:tcPr/>
          <w:p w:rsidR="00000000" w:rsidDel="00000000" w:rsidP="00000000" w:rsidRDefault="00000000" w:rsidRPr="00000000" w14:paraId="000000BA">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- 35% (10% to 45%) </w:t>
            </w:r>
          </w:p>
        </w:tc>
      </w:tr>
    </w:tbl>
    <w:p w:rsidR="00000000" w:rsidDel="00000000" w:rsidP="00000000" w:rsidRDefault="00000000" w:rsidRPr="00000000" w14:paraId="000000B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w:t>
      </w:r>
    </w:p>
    <w:tbl>
      <w:tblPr>
        <w:tblStyle w:val="Table6"/>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rPr>
          <w:cantSplit w:val="0"/>
          <w:tblHeader w:val="0"/>
        </w:trPr>
        <w:tc>
          <w:tcPr>
            <w:shd w:fill="e7e6e6" w:val="clear"/>
          </w:tcPr>
          <w:p w:rsidR="00000000" w:rsidDel="00000000" w:rsidP="00000000" w:rsidRDefault="00000000" w:rsidRPr="00000000" w14:paraId="000000BD">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BE">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Buyer conducting the Further Competition Procedure</w:t>
            </w:r>
          </w:p>
        </w:tc>
        <w:tc>
          <w:tcPr>
            <w:shd w:fill="e7e6e6" w:val="clear"/>
          </w:tcPr>
          <w:p w:rsidR="00000000" w:rsidDel="00000000" w:rsidP="00000000" w:rsidRDefault="00000000" w:rsidRPr="00000000" w14:paraId="000000BF">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C0">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within the range below)</w:t>
            </w:r>
            <w:r w:rsidDel="00000000" w:rsidR="00000000" w:rsidRPr="00000000">
              <w:rPr>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C1">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C2">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75%</w:t>
            </w:r>
          </w:p>
        </w:tc>
        <w:tc>
          <w:tcPr/>
          <w:p w:rsidR="00000000" w:rsidDel="00000000" w:rsidP="00000000" w:rsidRDefault="00000000" w:rsidRPr="00000000" w14:paraId="000000C3">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+ 15% (75% to 90%) </w:t>
            </w:r>
          </w:p>
        </w:tc>
      </w:tr>
      <w:tr>
        <w:trPr>
          <w:cantSplit w:val="0"/>
          <w:tblHeader w:val="0"/>
        </w:trPr>
        <w:tc>
          <w:tcPr/>
          <w:p w:rsidR="00000000" w:rsidDel="00000000" w:rsidP="00000000" w:rsidRDefault="00000000" w:rsidRPr="00000000" w14:paraId="000000C4">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C5">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25%</w:t>
            </w:r>
          </w:p>
        </w:tc>
        <w:tc>
          <w:tcPr/>
          <w:p w:rsidR="00000000" w:rsidDel="00000000" w:rsidP="00000000" w:rsidRDefault="00000000" w:rsidRPr="00000000" w14:paraId="000000C6">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- 15% (10% to 25%) </w:t>
            </w:r>
          </w:p>
        </w:tc>
      </w:tr>
    </w:tbl>
    <w:p w:rsidR="00000000" w:rsidDel="00000000" w:rsidP="00000000" w:rsidRDefault="00000000" w:rsidRPr="00000000" w14:paraId="000000C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8">
      <w:pPr>
        <w:widowControl w:val="1"/>
        <w:spacing w:after="160" w:line="259" w:lineRule="auto"/>
        <w:rPr>
          <w:rFonts w:ascii="Arial" w:cs="Arial" w:eastAsia="Arial" w:hAnsi="Arial"/>
          <w:b w:val="1"/>
        </w:rPr>
      </w:pPr>
      <w:r w:rsidDel="00000000" w:rsidR="00000000" w:rsidRPr="00000000">
        <w:rPr>
          <w:rFonts w:ascii="Arial" w:cs="Arial" w:eastAsia="Arial" w:hAnsi="Arial"/>
          <w:b w:val="1"/>
          <w:rtl w:val="0"/>
        </w:rPr>
        <w:t xml:space="preserve">Social Value</w:t>
      </w:r>
    </w:p>
    <w:p w:rsidR="00000000" w:rsidDel="00000000" w:rsidP="00000000" w:rsidRDefault="00000000" w:rsidRPr="00000000" w14:paraId="000000C9">
      <w:pPr>
        <w:widowControl w:val="1"/>
        <w:spacing w:after="160" w:line="259" w:lineRule="auto"/>
        <w:rPr>
          <w:rFonts w:ascii="Arial" w:cs="Arial" w:eastAsia="Arial" w:hAnsi="Arial"/>
        </w:rPr>
      </w:pPr>
      <w:hyperlink r:id="rId7">
        <w:r w:rsidDel="00000000" w:rsidR="00000000" w:rsidRPr="00000000">
          <w:rPr>
            <w:rFonts w:ascii="Arial" w:cs="Arial" w:eastAsia="Arial" w:hAnsi="Arial"/>
            <w:color w:val="0563c1"/>
            <w:u w:val="single"/>
            <w:rtl w:val="0"/>
          </w:rPr>
          <w:t xml:space="preserve">Procurement Policy Note 6/20</w:t>
        </w:r>
      </w:hyperlink>
      <w:r w:rsidDel="00000000" w:rsidR="00000000" w:rsidRPr="00000000">
        <w:rPr>
          <w:rFonts w:ascii="Arial" w:cs="Arial" w:eastAsia="Arial" w:hAnsi="Arial"/>
          <w:rtl w:val="0"/>
        </w:rPr>
        <w:t xml:space="preserve"> launched a new model to deliver social value through the government's commercial activities. Central government organisations must use this model to take account of the additional social benefits that can be achieved in the delivery of their contracts, using policy outcomes aligned with the government's priorities.</w:t>
      </w:r>
    </w:p>
    <w:p w:rsidR="00000000" w:rsidDel="00000000" w:rsidP="00000000" w:rsidRDefault="00000000" w:rsidRPr="00000000" w14:paraId="000000CA">
      <w:pPr>
        <w:widowControl w:val="1"/>
        <w:spacing w:after="160" w:line="259" w:lineRule="auto"/>
        <w:rPr>
          <w:rFonts w:ascii="Arial" w:cs="Arial" w:eastAsia="Arial" w:hAnsi="Arial"/>
        </w:rPr>
      </w:pPr>
      <w:r w:rsidDel="00000000" w:rsidR="00000000" w:rsidRPr="00000000">
        <w:rPr>
          <w:rFonts w:ascii="Arial" w:cs="Arial" w:eastAsia="Arial" w:hAnsi="Arial"/>
          <w:rtl w:val="0"/>
        </w:rPr>
        <w:t xml:space="preserve">When carrying out a Further Competition Procedure under the Mobile Voice and Data Services Framework central government Buyers must therefore comply with the policy set out in PPN 6/20 by ensuring that they evaluate Further Competition tenders against social value requirements aligned with governments </w:t>
      </w:r>
      <w:hyperlink r:id="rId8">
        <w:r w:rsidDel="00000000" w:rsidR="00000000" w:rsidRPr="00000000">
          <w:rPr>
            <w:rFonts w:ascii="Arial" w:cs="Arial" w:eastAsia="Arial" w:hAnsi="Arial"/>
            <w:color w:val="0563c1"/>
            <w:u w:val="single"/>
            <w:rtl w:val="0"/>
          </w:rPr>
          <w:t xml:space="preserve">Social Value Model</w:t>
        </w:r>
      </w:hyperlink>
      <w:r w:rsidDel="00000000" w:rsidR="00000000" w:rsidRPr="00000000">
        <w:rPr>
          <w:rFonts w:ascii="Arial" w:cs="Arial" w:eastAsia="Arial" w:hAnsi="Arial"/>
          <w:rtl w:val="0"/>
        </w:rPr>
        <w:t xml:space="preserve">.</w:t>
      </w:r>
    </w:p>
    <w:p w:rsidR="00000000" w:rsidDel="00000000" w:rsidP="00000000" w:rsidRDefault="00000000" w:rsidRPr="00000000" w14:paraId="000000CB">
      <w:pPr>
        <w:widowControl w:val="1"/>
        <w:spacing w:after="160" w:line="259" w:lineRule="auto"/>
        <w:rPr>
          <w:rFonts w:ascii="Arial" w:cs="Arial" w:eastAsia="Arial" w:hAnsi="Arial"/>
        </w:rPr>
      </w:pPr>
      <w:r w:rsidDel="00000000" w:rsidR="00000000" w:rsidRPr="00000000">
        <w:rPr>
          <w:rFonts w:ascii="Arial" w:cs="Arial" w:eastAsia="Arial" w:hAnsi="Arial"/>
          <w:color w:val="000000"/>
          <w:rtl w:val="0"/>
        </w:rPr>
        <w:t xml:space="preserve">Social value requirements and award criteria should be closely aligned with the model questions, model award criteria and sub-criteria set out in the Social Value Model. Evaluation weighting attributed to social value requirements should not be less than 10% of available marks.</w:t>
      </w:r>
      <w:r w:rsidDel="00000000" w:rsidR="00000000" w:rsidRPr="00000000">
        <w:rPr>
          <w:rtl w:val="0"/>
        </w:rPr>
      </w:r>
    </w:p>
    <w:p w:rsidR="00000000" w:rsidDel="00000000" w:rsidP="00000000" w:rsidRDefault="00000000" w:rsidRPr="00000000" w14:paraId="000000CC">
      <w:pPr>
        <w:widowControl w:val="1"/>
        <w:jc w:val="both"/>
        <w:rPr>
          <w:rFonts w:ascii="Arial" w:cs="Arial" w:eastAsia="Arial" w:hAnsi="Arial"/>
          <w:color w:val="ffffff"/>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D">
      <w:pPr>
        <w:widowControl w:val="1"/>
        <w:jc w:val="both"/>
        <w:rPr>
          <w:rFonts w:ascii="Arial" w:cs="Arial" w:eastAsia="Arial" w:hAnsi="Arial"/>
          <w:color w:val="ffffff"/>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E">
      <w:pPr>
        <w:widowControl w:val="1"/>
        <w:jc w:val="both"/>
        <w:rPr>
          <w:rFonts w:ascii="Arial" w:cs="Arial" w:eastAsia="Arial" w:hAnsi="Arial"/>
          <w:color w:val="ffffff"/>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CF">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0">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1">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2">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D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D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E0">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4"/>
    <w:bookmarkEnd w:id="14"/>
    <w:r w:rsidDel="00000000" w:rsidR="00000000" w:rsidRPr="00000000">
      <w:rPr>
        <w:rFonts w:ascii="Arial" w:cs="Arial" w:eastAsia="Arial" w:hAnsi="Arial"/>
        <w:sz w:val="20"/>
        <w:szCs w:val="20"/>
        <w:rtl w:val="0"/>
      </w:rPr>
      <w:t xml:space="preserve">Model Version : v3.3</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D5">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D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D9">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E4719A"/>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qFormat w:val="1"/>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7"/>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7"/>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7"/>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TableGrid1" w:customStyle="1">
    <w:name w:val="Table Grid1"/>
    <w:basedOn w:val="TableNormal"/>
    <w:next w:val="TableGrid"/>
    <w:uiPriority w:val="39"/>
    <w:rsid w:val="001F414C"/>
    <w:pPr>
      <w:suppressAutoHyphens w:val="1"/>
      <w:autoSpaceDN w:val="0"/>
      <w:textAlignment w:val="baseline"/>
    </w:pPr>
    <w:rPr>
      <w:rFonts w:cs="F"/>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E1B65"/>
    <w:pPr>
      <w:ind w:left="720"/>
      <w:contextualSpacing w:val="1"/>
    </w:pPr>
  </w:style>
  <w:style w:type="table" w:styleId="TableGrid2" w:customStyle="1">
    <w:name w:val="Table Grid2"/>
    <w:basedOn w:val="TableNormal"/>
    <w:next w:val="TableGrid"/>
    <w:uiPriority w:val="39"/>
    <w:rsid w:val="00DE1B65"/>
    <w:pPr>
      <w:suppressAutoHyphens w:val="1"/>
      <w:autoSpaceDN w:val="0"/>
      <w:textAlignment w:val="baseline"/>
    </w:pPr>
    <w:rPr>
      <w:rFonts w:cs="F"/>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3" w:customStyle="1">
    <w:name w:val="Table Grid3"/>
    <w:basedOn w:val="TableNormal"/>
    <w:next w:val="TableGrid"/>
    <w:uiPriority w:val="39"/>
    <w:rsid w:val="00B50B04"/>
    <w:pPr>
      <w:suppressAutoHyphens w:val="1"/>
      <w:autoSpaceDN w:val="0"/>
      <w:textAlignment w:val="baseline"/>
    </w:pPr>
    <w:rPr>
      <w:rFonts w:cs="F"/>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921437/PPN-06_20-Taking-Account-of-Social-Value-in-the-Award-of-Central-Government-Contracts.pdf" TargetMode="External"/><Relationship Id="rId8" Type="http://schemas.openxmlformats.org/officeDocument/2006/relationships/hyperlink" Target="https://assets.publishing.service.gov.uk/government/uploads/system/uploads/attachment_data/file/940826/Social-Value-Model-Edn-1.1-3-Dec-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5AEhIzQ+0i0Wjcd3K4drURxsbMQ==">AMUW2mVBUhxW5cekR3ehQ6N7ktbgGWnEjasQmsgPbi0Z7iIy3suiNnF1tKNihgFyJPEol8AZJsEw+hNW0RncfCBWovTfp4qjxBblgRG8StHxvhjugfq7cQ19tOzNB2txe7mM+Tr5/au2/aJAxVBLL8HnVsJAUIY0yU8co+PgfUtKs2R5x7ISkkzGqJcPRurp+3dQdtObXeEapDuE8RJHYMLbrP4YRQ/Ez/1BGT9fyhhLZg/5kq0inkYdjhcCIvK57Zm2kEG5t83mjJaUIRfEykjtapr+TWzKWbNpb3KLJrBoobPWBIaowAa1ydLOytpo9YX/6e86l9m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2022-08-04T15:56:00Z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